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left="-708" w:leftChars="-337"/>
        <w:rPr>
          <w:rFonts w:ascii="Times New Roman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adjustRightInd w:val="0"/>
        <w:snapToGrid w:val="0"/>
        <w:spacing w:line="600" w:lineRule="exact"/>
        <w:ind w:left="-424" w:leftChars="-202" w:right="-483" w:rightChars="-230"/>
        <w:jc w:val="center"/>
        <w:rPr>
          <w:rFonts w:ascii="Times New Roman" w:hAnsi="Times New Roman" w:eastAsia="方正小标宋_GBK"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  <w:t>党委（党组）领导班子落实党风廉政建设主体责任情况登记表</w:t>
      </w:r>
    </w:p>
    <w:p>
      <w:pPr>
        <w:adjustRightInd w:val="0"/>
        <w:snapToGrid w:val="0"/>
        <w:spacing w:line="600" w:lineRule="exact"/>
        <w:ind w:left="-440" w:leftChars="-260" w:right="-370" w:rightChars="-176" w:hanging="106" w:hangingChars="38"/>
        <w:rPr>
          <w:rFonts w:ascii="Times New Roman" w:hAnsi="Times New Roman" w:eastAsia="方正小标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填报单位（盖章）：                              填报时间：   年  月  日</w:t>
      </w:r>
    </w:p>
    <w:tbl>
      <w:tblPr>
        <w:tblStyle w:val="2"/>
        <w:tblW w:w="10207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812"/>
        <w:gridCol w:w="39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238" w:type="dxa"/>
            <w:gridSpan w:val="2"/>
            <w:vAlign w:val="center"/>
          </w:tcPr>
          <w:p>
            <w:pPr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责任清单</w:t>
            </w:r>
          </w:p>
        </w:tc>
        <w:tc>
          <w:tcPr>
            <w:tcW w:w="3969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落实情况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426" w:type="dxa"/>
            <w:vMerge w:val="restart"/>
            <w:vAlign w:val="center"/>
          </w:tcPr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织</w:t>
            </w:r>
          </w:p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领</w:t>
            </w:r>
          </w:p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导</w:t>
            </w:r>
          </w:p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责</w:t>
            </w:r>
          </w:p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任</w:t>
            </w:r>
          </w:p>
        </w:tc>
        <w:tc>
          <w:tcPr>
            <w:tcW w:w="5812" w:type="dxa"/>
            <w:vAlign w:val="center"/>
          </w:tcPr>
          <w:p>
            <w:pPr>
              <w:autoSpaceDN w:val="0"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1.加强政治建设。自觉增强“四个意识”，坚定“四个自信”，践行“两个维护”。</w:t>
            </w:r>
          </w:p>
        </w:tc>
        <w:tc>
          <w:tcPr>
            <w:tcW w:w="3969" w:type="dxa"/>
            <w:vAlign w:val="center"/>
          </w:tcPr>
          <w:p>
            <w:pPr>
              <w:autoSpaceDN w:val="0"/>
              <w:adjustRightInd w:val="0"/>
              <w:snapToGrid w:val="0"/>
              <w:spacing w:line="260" w:lineRule="exact"/>
              <w:ind w:left="-4784" w:leftChars="-2278" w:right="210" w:firstLine="1134" w:firstLineChars="540"/>
              <w:jc w:val="center"/>
              <w:rPr>
                <w:rFonts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426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12" w:type="dxa"/>
            <w:vAlign w:val="center"/>
          </w:tcPr>
          <w:p>
            <w:pPr>
              <w:autoSpaceDN w:val="0"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2.制定工作计划。每年年初，根据中央、省、市部署，研究制定党风廉政建设年度工作计划，明确目标要求、具体措施、责任分工。</w:t>
            </w:r>
          </w:p>
        </w:tc>
        <w:tc>
          <w:tcPr>
            <w:tcW w:w="3969" w:type="dxa"/>
            <w:vAlign w:val="center"/>
          </w:tcPr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426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12" w:type="dxa"/>
            <w:vAlign w:val="center"/>
          </w:tcPr>
          <w:p>
            <w:pPr>
              <w:autoSpaceDN w:val="0"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3.加强研究部署。定期召开党委常委会议（党组会议）研究部署党风廉政建设工作，及时解决涉及党风廉政建设的重大问题。</w:t>
            </w:r>
          </w:p>
        </w:tc>
        <w:tc>
          <w:tcPr>
            <w:tcW w:w="3969" w:type="dxa"/>
            <w:vAlign w:val="center"/>
          </w:tcPr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426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12" w:type="dxa"/>
            <w:vAlign w:val="center"/>
          </w:tcPr>
          <w:p>
            <w:pPr>
              <w:autoSpaceDN w:val="0"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4.开展监督检查。组织对本地区、本单位落实党风廉政建设责任情况开展专项检查，对下级领导班子、领导干部履行党风廉政建设责任情况随机抽查，及时掌握情况、发现问题、督促整改。</w:t>
            </w:r>
          </w:p>
        </w:tc>
        <w:tc>
          <w:tcPr>
            <w:tcW w:w="3969" w:type="dxa"/>
            <w:vAlign w:val="center"/>
          </w:tcPr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26" w:type="dxa"/>
            <w:vMerge w:val="restart"/>
            <w:vAlign w:val="center"/>
          </w:tcPr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严</w:t>
            </w:r>
          </w:p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明</w:t>
            </w:r>
          </w:p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纪</w:t>
            </w:r>
          </w:p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律</w:t>
            </w:r>
          </w:p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责</w:t>
            </w:r>
          </w:p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任</w:t>
            </w:r>
          </w:p>
        </w:tc>
        <w:tc>
          <w:tcPr>
            <w:tcW w:w="5812" w:type="dxa"/>
            <w:vAlign w:val="center"/>
          </w:tcPr>
          <w:p>
            <w:pPr>
              <w:autoSpaceDN w:val="0"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5.严明党纪国法。加大对党章、宪法等党纪国法学习宣传力度，提高党员干部法治思维和依纪依法办事能力。</w:t>
            </w:r>
          </w:p>
        </w:tc>
        <w:tc>
          <w:tcPr>
            <w:tcW w:w="3969" w:type="dxa"/>
            <w:vAlign w:val="center"/>
          </w:tcPr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426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12" w:type="dxa"/>
            <w:vAlign w:val="center"/>
          </w:tcPr>
          <w:p>
            <w:pPr>
              <w:autoSpaceDN w:val="0"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6.坚持民主集中制。认真贯彻执行“三重一大”事项集体决策制度，进一步建立健全情况通报、情况反映、重大决策征求意见等配套制度，推动党务、政务和各领域办事公开工作科学化、规范化、制度化。</w:t>
            </w:r>
          </w:p>
        </w:tc>
        <w:tc>
          <w:tcPr>
            <w:tcW w:w="3969" w:type="dxa"/>
            <w:vAlign w:val="center"/>
          </w:tcPr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12" w:type="dxa"/>
            <w:vAlign w:val="center"/>
          </w:tcPr>
          <w:p>
            <w:pPr>
              <w:autoSpaceDN w:val="0"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7.确保政令畅通。抓好中央和省委、市委重大决策部署、中心工作的贯彻落实，坚决纠正有令不行、有禁不止，各自为政、阳奉阴违的行为。</w:t>
            </w:r>
          </w:p>
        </w:tc>
        <w:tc>
          <w:tcPr>
            <w:tcW w:w="3969" w:type="dxa"/>
            <w:vAlign w:val="center"/>
          </w:tcPr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vAlign w:val="center"/>
          </w:tcPr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</w:t>
            </w:r>
          </w:p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用</w:t>
            </w:r>
          </w:p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责</w:t>
            </w:r>
          </w:p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任</w:t>
            </w:r>
          </w:p>
        </w:tc>
        <w:tc>
          <w:tcPr>
            <w:tcW w:w="5812" w:type="dxa"/>
            <w:vAlign w:val="center"/>
          </w:tcPr>
          <w:p>
            <w:pPr>
              <w:autoSpaceDN w:val="0"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8.坚持用人标准。按照习近平总书记提出的“信念坚定、为民服务、勤政务实、敢于担当、清正廉洁”20字标准，大胆选拔任用“敢担当、重实干、有作为”的干部。</w:t>
            </w:r>
          </w:p>
        </w:tc>
        <w:tc>
          <w:tcPr>
            <w:tcW w:w="3969" w:type="dxa"/>
            <w:vAlign w:val="center"/>
          </w:tcPr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426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12" w:type="dxa"/>
            <w:vAlign w:val="center"/>
          </w:tcPr>
          <w:p>
            <w:pPr>
              <w:autoSpaceDN w:val="0"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9.严格用人程序。严格按照《党政领导干部选拔任用工作条例》规定的原则和程序选拔任用干部，突出抓好提名推荐、组织考察、酝酿讨论等关键环节，切实做到程序不倒置、不空转。</w:t>
            </w:r>
          </w:p>
        </w:tc>
        <w:tc>
          <w:tcPr>
            <w:tcW w:w="3969" w:type="dxa"/>
            <w:vAlign w:val="center"/>
          </w:tcPr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12" w:type="dxa"/>
            <w:vAlign w:val="center"/>
          </w:tcPr>
          <w:p>
            <w:pPr>
              <w:autoSpaceDN w:val="0"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10.加强用人监督。完善拟提拔任用干部任职前征求纪委（纪检机构）意见制度，完善选人用人全程监督措施。</w:t>
            </w:r>
          </w:p>
        </w:tc>
        <w:tc>
          <w:tcPr>
            <w:tcW w:w="3969" w:type="dxa"/>
            <w:vAlign w:val="center"/>
          </w:tcPr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426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12" w:type="dxa"/>
            <w:vAlign w:val="center"/>
          </w:tcPr>
          <w:p>
            <w:pPr>
              <w:autoSpaceDN w:val="0"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11.建立容错机制。旗帜鲜明地为“想为、敢为、勤为、善为”的干部撑腰鼓劲，包容因改革创新、先行先试而出现失误或错误的干部。</w:t>
            </w:r>
          </w:p>
        </w:tc>
        <w:tc>
          <w:tcPr>
            <w:tcW w:w="3969" w:type="dxa"/>
            <w:vAlign w:val="center"/>
          </w:tcPr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426" w:type="dxa"/>
            <w:vMerge w:val="restart"/>
            <w:vAlign w:val="center"/>
          </w:tcPr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风</w:t>
            </w:r>
          </w:p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</w:t>
            </w:r>
          </w:p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</w:t>
            </w:r>
          </w:p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责</w:t>
            </w:r>
          </w:p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任</w:t>
            </w:r>
          </w:p>
        </w:tc>
        <w:tc>
          <w:tcPr>
            <w:tcW w:w="5812" w:type="dxa"/>
            <w:vAlign w:val="center"/>
          </w:tcPr>
          <w:p>
            <w:pPr>
              <w:autoSpaceDN w:val="0"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深入整治“四风”。坚决贯彻执行中央八项规定及其实施细则精神，严格落实省委“约法三章”要求，防止“四风”问题反弹。紧盯形式主义、官僚主义新动向、新表现，拿出有效管用的整治措施，大力整治“文山会海”，表态多调门高、行动少落实差，“走过场”“做虚功”等突出问题。</w:t>
            </w:r>
          </w:p>
        </w:tc>
        <w:tc>
          <w:tcPr>
            <w:tcW w:w="3969" w:type="dxa"/>
            <w:vAlign w:val="center"/>
          </w:tcPr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426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12" w:type="dxa"/>
            <w:vAlign w:val="center"/>
          </w:tcPr>
          <w:p>
            <w:pPr>
              <w:autoSpaceDN w:val="0"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13.密切联系群众。及时研究解决人民群众反映强烈的突出问题和服务群众“最后一公里”的问题，切实维护群众权益。</w:t>
            </w:r>
          </w:p>
        </w:tc>
        <w:tc>
          <w:tcPr>
            <w:tcW w:w="3969" w:type="dxa"/>
            <w:vAlign w:val="center"/>
          </w:tcPr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426" w:type="dxa"/>
            <w:vMerge w:val="restart"/>
            <w:vAlign w:val="center"/>
          </w:tcPr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源</w:t>
            </w:r>
          </w:p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头</w:t>
            </w:r>
          </w:p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预</w:t>
            </w:r>
          </w:p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防</w:t>
            </w:r>
          </w:p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责</w:t>
            </w:r>
          </w:p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任</w:t>
            </w:r>
          </w:p>
        </w:tc>
        <w:tc>
          <w:tcPr>
            <w:tcW w:w="5812" w:type="dxa"/>
            <w:vAlign w:val="center"/>
          </w:tcPr>
          <w:p>
            <w:pPr>
              <w:autoSpaceDN w:val="0"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14.加强廉政宣传。充分发挥报刊、网络、广播、电视等媒体作用，加强党风廉政宣传教育；通过在线访谈、政务微博等形式，积极应对和引导舆论。</w:t>
            </w:r>
          </w:p>
        </w:tc>
        <w:tc>
          <w:tcPr>
            <w:tcW w:w="3969" w:type="dxa"/>
            <w:vAlign w:val="center"/>
          </w:tcPr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426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12" w:type="dxa"/>
            <w:vAlign w:val="center"/>
          </w:tcPr>
          <w:p>
            <w:pPr>
              <w:autoSpaceDN w:val="0"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开展廉政教育。建立健全党风廉政建设教育长效机制，把党风廉政建设作为党委（党组）中心组学习、民主生活会和基层党组织“三会一课”的重要内容。每年以专题讲座、辅导报告、交流研讨等多种形式开展专题教育活动不少于2次。</w:t>
            </w:r>
          </w:p>
        </w:tc>
        <w:tc>
          <w:tcPr>
            <w:tcW w:w="3969" w:type="dxa"/>
            <w:vAlign w:val="center"/>
          </w:tcPr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426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12" w:type="dxa"/>
            <w:vAlign w:val="center"/>
          </w:tcPr>
          <w:p>
            <w:pPr>
              <w:autoSpaceDN w:val="0"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16.经常谈心谈话。严格落实谈话提醒情况报告制度，推动“两同时”谈话等更加规范化、制度化、经常化开展。</w:t>
            </w:r>
          </w:p>
        </w:tc>
        <w:tc>
          <w:tcPr>
            <w:tcW w:w="3969" w:type="dxa"/>
            <w:vAlign w:val="center"/>
          </w:tcPr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426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12" w:type="dxa"/>
            <w:vAlign w:val="center"/>
          </w:tcPr>
          <w:p>
            <w:pPr>
              <w:autoSpaceDN w:val="0"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.规范权力运行。深化行政审批制度改革，推行权力清单制度，加强重点领域、重点部门、重点事项和重点对象监督。推进党务政务公开和各领域办事公开。制定完善党风廉政建设相关规章制度，加强廉政风险防控，从源头上预防和治理腐败。</w:t>
            </w:r>
          </w:p>
        </w:tc>
        <w:tc>
          <w:tcPr>
            <w:tcW w:w="3969" w:type="dxa"/>
            <w:vAlign w:val="center"/>
          </w:tcPr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426" w:type="dxa"/>
            <w:vAlign w:val="center"/>
          </w:tcPr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齐</w:t>
            </w:r>
          </w:p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抓</w:t>
            </w:r>
          </w:p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共</w:t>
            </w:r>
          </w:p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管</w:t>
            </w:r>
          </w:p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责</w:t>
            </w:r>
          </w:p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楷体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任</w:t>
            </w:r>
          </w:p>
        </w:tc>
        <w:tc>
          <w:tcPr>
            <w:tcW w:w="5812" w:type="dxa"/>
            <w:vAlign w:val="center"/>
          </w:tcPr>
          <w:p>
            <w:pPr>
              <w:autoSpaceDN w:val="0"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18.支持纪检监察机关工作。支持</w:t>
            </w: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纪检监察</w:t>
            </w:r>
            <w:r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关依纪依法履行职责，及时听取工作汇报，协调解决重大问题。支持深化国家监察体制改革相关工作。加强巡视巡察问题整改工作。支持纪检监察干部队伍建设。主动接受上级纪委和同级纪委（纪检组）的监督。</w:t>
            </w:r>
          </w:p>
        </w:tc>
        <w:tc>
          <w:tcPr>
            <w:tcW w:w="3969" w:type="dxa"/>
            <w:vAlign w:val="center"/>
          </w:tcPr>
          <w:p>
            <w:pPr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utoSpaceDN w:val="0"/>
        <w:adjustRightInd w:val="0"/>
        <w:snapToGrid w:val="0"/>
        <w:ind w:leftChars="-337" w:hanging="708" w:hangingChars="253"/>
        <w:jc w:val="left"/>
        <w:rPr>
          <w:rFonts w:ascii="Times New Roman" w:hAnsi="Times New Roman" w:eastAsia="方正仿宋_GBK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autoSpaceDN w:val="0"/>
        <w:adjustRightInd w:val="0"/>
        <w:snapToGrid w:val="0"/>
        <w:ind w:left="-101" w:leftChars="-337" w:hanging="607" w:hangingChars="253"/>
        <w:jc w:val="left"/>
        <w:rPr>
          <w:rFonts w:ascii="Times New Roman" w:hAnsi="Times New Roman" w:eastAsia="方正仿宋_GBK"/>
          <w:snapToGrid w:val="0"/>
          <w:color w:val="000000" w:themeColor="text1"/>
          <w:spacing w:val="-2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snapToGrid w:val="0"/>
          <w:color w:val="000000" w:themeColor="text1"/>
          <w:spacing w:val="-2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党委（党组）主要负责人（签字）：            </w:t>
      </w:r>
      <w:r>
        <w:rPr>
          <w:rFonts w:hint="eastAsia" w:ascii="Times New Roman" w:hAnsi="Times New Roman" w:eastAsia="方正仿宋_GBK"/>
          <w:snapToGrid w:val="0"/>
          <w:color w:val="000000" w:themeColor="text1"/>
          <w:spacing w:val="-2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 w:eastAsia="方正仿宋_GBK"/>
          <w:snapToGrid w:val="0"/>
          <w:color w:val="000000" w:themeColor="text1"/>
          <w:spacing w:val="-2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纪检监察组织负责人（签字）：</w:t>
      </w:r>
    </w:p>
    <w:p>
      <w:pPr>
        <w:autoSpaceDN w:val="0"/>
        <w:adjustRightInd w:val="0"/>
        <w:snapToGrid w:val="0"/>
        <w:ind w:firstLine="560" w:firstLineChars="200"/>
        <w:jc w:val="left"/>
        <w:rPr>
          <w:rFonts w:ascii="Times New Roman" w:hAnsi="Times New Roman" w:eastAsia="方正仿宋_GBK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autoSpaceDN w:val="0"/>
        <w:adjustRightInd w:val="0"/>
        <w:snapToGrid w:val="0"/>
        <w:ind w:left="-710" w:leftChars="-338" w:firstLine="560" w:firstLineChars="200"/>
        <w:jc w:val="left"/>
        <w:rPr>
          <w:rFonts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备注：1.党委（党组）对照责任清单内容，客观、真实填写落实情况，于每年12月20日前，将此表报送至</w:t>
      </w:r>
      <w:r>
        <w:rPr>
          <w:rFonts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市党风廉政建设责任制工作领导小组办公室（联系人：徐俊，联系电话：7786741，地址：市委1号楼521）；</w:t>
      </w:r>
    </w:p>
    <w:p>
      <w:pPr>
        <w:autoSpaceDN w:val="0"/>
        <w:adjustRightInd w:val="0"/>
        <w:snapToGrid w:val="0"/>
        <w:ind w:left="-708" w:leftChars="-337" w:firstLine="1400" w:firstLineChars="500"/>
        <w:jc w:val="left"/>
        <w:rPr>
          <w:rFonts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2.落实情况填写只需对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所做工作简单</w:t>
      </w:r>
      <w:r>
        <w:rPr>
          <w:rFonts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概述。</w:t>
      </w:r>
    </w:p>
    <w:p>
      <w:pPr>
        <w:autoSpaceDN w:val="0"/>
        <w:adjustRightInd w:val="0"/>
        <w:snapToGrid w:val="0"/>
        <w:ind w:left="-708" w:leftChars="-337" w:firstLine="560" w:firstLineChars="200"/>
        <w:jc w:val="left"/>
        <w:rPr>
          <w:rFonts w:ascii="Times New Roman" w:hAnsi="Times New Roman" w:eastAsia="方正仿宋_GBK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662D9"/>
    <w:rsid w:val="17997C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cdsjw-xcb</dc:creator>
  <cp:lastModifiedBy>cdsjw-xcb</cp:lastModifiedBy>
  <dcterms:modified xsi:type="dcterms:W3CDTF">2019-05-07T01:09:42Z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